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3E5" w:rsidRDefault="00F443E5" w:rsidP="00F443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ХИМИИ 9 КЛАСС</w:t>
      </w: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 документы, на основании которых составлена рабочая программа:</w:t>
      </w:r>
    </w:p>
    <w:p w:rsidR="00F443E5" w:rsidRDefault="00F443E5" w:rsidP="00F443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Приказ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 от 17.12.2010 N 1897</w:t>
      </w:r>
    </w:p>
    <w:p w:rsidR="00F443E5" w:rsidRDefault="00F443E5" w:rsidP="00F443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Приказ Министерства просвещения Российской Федерации от 20.05.2020 № 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едеральный перечень учебников </w:t>
      </w:r>
    </w:p>
    <w:p w:rsidR="00F443E5" w:rsidRDefault="00F443E5" w:rsidP="00F443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на основе требований ФГОС основного общего образования второго поколения, примерной программы основного общего образования по химии, авторской программы О.С. Габриеляна, И.Г. Остроумова, С.А. Сладкова (Рабочие программы.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Химия. 8–9 классы.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организаций / О.С.Габриелян, С.А. Сладков.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М.: Просвещение, 2019),</w:t>
      </w:r>
      <w:proofErr w:type="gramEnd"/>
    </w:p>
    <w:p w:rsidR="00F443E5" w:rsidRDefault="00F443E5" w:rsidP="00F443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Основная образовательная программа основного общего образования МБОУ «Лесная СОШ» </w:t>
      </w:r>
    </w:p>
    <w:p w:rsidR="00F443E5" w:rsidRDefault="00F443E5" w:rsidP="00F443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план МБОУ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Лесная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СОШ»</w:t>
      </w:r>
    </w:p>
    <w:p w:rsidR="00F443E5" w:rsidRDefault="00F443E5" w:rsidP="00F443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Положение о рабочей программе учебных предметов, курсов в муниципальном бюджетном общеобразовательном учреждении «Лесная средняя общеобразовательная школа»</w:t>
      </w: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и задачи учебной дисциплины:</w:t>
      </w:r>
    </w:p>
    <w:p w:rsidR="00F443E5" w:rsidRDefault="00F443E5" w:rsidP="00F443E5">
      <w:pPr>
        <w:pStyle w:val="a4"/>
        <w:jc w:val="both"/>
      </w:pPr>
      <w:r>
        <w:rPr>
          <w:b/>
          <w:i/>
        </w:rPr>
        <w:t>Формирование</w:t>
      </w:r>
      <w:r>
        <w:t xml:space="preserve"> у учащихся химической картины мира, как органической части его целостной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картины.</w:t>
      </w:r>
    </w:p>
    <w:p w:rsidR="00F443E5" w:rsidRDefault="00F443E5" w:rsidP="00F443E5">
      <w:pPr>
        <w:pStyle w:val="a4"/>
        <w:jc w:val="both"/>
      </w:pPr>
      <w:r>
        <w:t>•</w:t>
      </w:r>
      <w:r>
        <w:tab/>
      </w:r>
      <w:r>
        <w:rPr>
          <w:b/>
          <w:i/>
        </w:rPr>
        <w:t>Развитие</w:t>
      </w:r>
      <w:r>
        <w:t xml:space="preserve"> познавательных интересов, интеллектуальных и творческих способностей учащихся в процессе изучения ими химической науки и её вклада в современный научно-технический прогресс; формирование 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 и свойствах химических веществ.</w:t>
      </w:r>
    </w:p>
    <w:p w:rsidR="00F443E5" w:rsidRDefault="00F443E5" w:rsidP="00F443E5">
      <w:pPr>
        <w:pStyle w:val="a4"/>
        <w:jc w:val="both"/>
      </w:pPr>
      <w:r>
        <w:t>•</w:t>
      </w:r>
      <w:r>
        <w:tab/>
      </w:r>
      <w:r>
        <w:rPr>
          <w:b/>
          <w:i/>
        </w:rPr>
        <w:t>Воспитание</w:t>
      </w:r>
      <w:r>
        <w:t xml:space="preserve"> убеждённости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производстве. </w:t>
      </w:r>
    </w:p>
    <w:p w:rsidR="00F443E5" w:rsidRDefault="00F443E5" w:rsidP="00F443E5">
      <w:pPr>
        <w:pStyle w:val="a4"/>
        <w:jc w:val="both"/>
        <w:rPr>
          <w:rFonts w:eastAsia="Calibri"/>
        </w:rPr>
      </w:pPr>
      <w:r>
        <w:t>•</w:t>
      </w:r>
      <w:r>
        <w:tab/>
      </w:r>
      <w:r>
        <w:rPr>
          <w:rFonts w:eastAsia="Calibri"/>
        </w:rPr>
        <w:t>Проектирование и реализация выпускниками основной школы личной образовательной траектории: выбор профиля обучения в старшей школе или профессионального образовательного учреждения.</w:t>
      </w:r>
    </w:p>
    <w:p w:rsidR="00F443E5" w:rsidRDefault="00F443E5" w:rsidP="00F443E5">
      <w:pPr>
        <w:pStyle w:val="a4"/>
        <w:jc w:val="both"/>
      </w:pPr>
      <w:r>
        <w:t>•</w:t>
      </w:r>
      <w:r>
        <w:tab/>
      </w:r>
      <w:r>
        <w:rPr>
          <w:b/>
          <w:i/>
        </w:rPr>
        <w:t>Овладение ключевыми компетенциями</w:t>
      </w:r>
      <w:r>
        <w:t xml:space="preserve">: учебно-познавательными, информационными, ценностно-смысловыми, коммуникативными. </w:t>
      </w: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на изучение дисциплины</w:t>
      </w:r>
      <w:r>
        <w:rPr>
          <w:rFonts w:ascii="Times New Roman" w:hAnsi="Times New Roman" w:cs="Times New Roman"/>
          <w:sz w:val="24"/>
          <w:szCs w:val="24"/>
        </w:rPr>
        <w:t xml:space="preserve"> 70 часов в год, 2 часа в неделю</w:t>
      </w: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3E5" w:rsidRDefault="00F443E5" w:rsidP="00F443E5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Тематическое планирование</w:t>
      </w:r>
    </w:p>
    <w:p w:rsidR="00F443E5" w:rsidRDefault="00F443E5" w:rsidP="00F443E5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tbl>
      <w:tblPr>
        <w:tblStyle w:val="a5"/>
        <w:tblW w:w="9356" w:type="dxa"/>
        <w:tblInd w:w="108" w:type="dxa"/>
        <w:tblLayout w:type="fixed"/>
        <w:tblLook w:val="04A0"/>
      </w:tblPr>
      <w:tblGrid>
        <w:gridCol w:w="1701"/>
        <w:gridCol w:w="4111"/>
        <w:gridCol w:w="3544"/>
      </w:tblGrid>
      <w:tr w:rsidR="00F443E5" w:rsidRPr="00B85AE4" w:rsidTr="00F443E5">
        <w:trPr>
          <w:trHeight w:val="414"/>
        </w:trPr>
        <w:tc>
          <w:tcPr>
            <w:tcW w:w="1701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AE4">
              <w:rPr>
                <w:rFonts w:ascii="Times New Roman" w:hAnsi="Times New Roman"/>
                <w:b/>
                <w:sz w:val="24"/>
                <w:szCs w:val="24"/>
              </w:rPr>
              <w:t>№ раздела (темы)</w:t>
            </w:r>
          </w:p>
        </w:tc>
        <w:tc>
          <w:tcPr>
            <w:tcW w:w="4111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AE4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(темы)</w:t>
            </w:r>
          </w:p>
        </w:tc>
        <w:tc>
          <w:tcPr>
            <w:tcW w:w="3544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AE4">
              <w:rPr>
                <w:rFonts w:ascii="Times New Roman" w:hAnsi="Times New Roman"/>
                <w:b/>
                <w:sz w:val="24"/>
                <w:szCs w:val="24"/>
              </w:rPr>
              <w:t>Продолжительность изучения раздела (темы)</w:t>
            </w:r>
          </w:p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AE4">
              <w:rPr>
                <w:rFonts w:ascii="Times New Roman" w:hAnsi="Times New Roman"/>
                <w:b/>
                <w:sz w:val="24"/>
                <w:szCs w:val="24"/>
              </w:rPr>
              <w:t>в часах</w:t>
            </w:r>
          </w:p>
        </w:tc>
      </w:tr>
      <w:tr w:rsidR="00F443E5" w:rsidRPr="00B85AE4" w:rsidTr="00F443E5">
        <w:trPr>
          <w:trHeight w:val="312"/>
        </w:trPr>
        <w:tc>
          <w:tcPr>
            <w:tcW w:w="1701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F443E5" w:rsidRPr="00B85AE4" w:rsidRDefault="00F443E5" w:rsidP="00161A11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Повторение и обобщение сведений по курсу 8 класса. Химические реакции</w:t>
            </w:r>
          </w:p>
        </w:tc>
        <w:tc>
          <w:tcPr>
            <w:tcW w:w="3544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443E5" w:rsidRPr="00B85AE4" w:rsidTr="00F443E5">
        <w:trPr>
          <w:trHeight w:val="853"/>
        </w:trPr>
        <w:tc>
          <w:tcPr>
            <w:tcW w:w="1701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  <w:vAlign w:val="center"/>
          </w:tcPr>
          <w:p w:rsidR="00F443E5" w:rsidRPr="00B85AE4" w:rsidRDefault="00F443E5" w:rsidP="00161A11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Химические реакции в растворах</w:t>
            </w:r>
          </w:p>
        </w:tc>
        <w:tc>
          <w:tcPr>
            <w:tcW w:w="3544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443E5" w:rsidRPr="00B85AE4" w:rsidTr="00F443E5">
        <w:trPr>
          <w:trHeight w:val="469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F443E5" w:rsidRPr="00B85AE4" w:rsidRDefault="00F443E5" w:rsidP="00161A11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Неметаллы и их соединения</w:t>
            </w:r>
          </w:p>
        </w:tc>
        <w:tc>
          <w:tcPr>
            <w:tcW w:w="3544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F443E5" w:rsidRPr="00B85AE4" w:rsidTr="00F443E5">
        <w:trPr>
          <w:trHeight w:val="479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F443E5" w:rsidRPr="00B85AE4" w:rsidRDefault="00F443E5" w:rsidP="00161A11">
            <w:pPr>
              <w:tabs>
                <w:tab w:val="left" w:pos="215"/>
              </w:tabs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Металлы и их соединения</w:t>
            </w:r>
          </w:p>
        </w:tc>
        <w:tc>
          <w:tcPr>
            <w:tcW w:w="3544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F443E5" w:rsidRPr="00B85AE4" w:rsidTr="00F443E5">
        <w:trPr>
          <w:trHeight w:val="479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F443E5" w:rsidRPr="00B85AE4" w:rsidRDefault="00F443E5" w:rsidP="00161A11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Химия и окружающая среда</w:t>
            </w:r>
          </w:p>
        </w:tc>
        <w:tc>
          <w:tcPr>
            <w:tcW w:w="3544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43E5" w:rsidRPr="00B85AE4" w:rsidTr="00F443E5">
        <w:trPr>
          <w:trHeight w:val="479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F443E5" w:rsidRPr="00B85AE4" w:rsidRDefault="00F443E5" w:rsidP="00161A11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Обобщение знаний по химии за курс основной школы. Подготовка к Основному государственному экзамену (ОГЭ)</w:t>
            </w:r>
          </w:p>
        </w:tc>
        <w:tc>
          <w:tcPr>
            <w:tcW w:w="3544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443E5" w:rsidRPr="00B85AE4" w:rsidTr="00F443E5">
        <w:trPr>
          <w:trHeight w:val="479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F443E5" w:rsidRPr="00B85AE4" w:rsidRDefault="00F443E5" w:rsidP="00161A11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544" w:type="dxa"/>
            <w:vAlign w:val="center"/>
          </w:tcPr>
          <w:p w:rsidR="00F443E5" w:rsidRPr="00B85AE4" w:rsidRDefault="00F443E5" w:rsidP="00161A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443E5" w:rsidRDefault="00F443E5" w:rsidP="00F443E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контроля:</w:t>
      </w:r>
    </w:p>
    <w:p w:rsidR="00F443E5" w:rsidRDefault="00F443E5" w:rsidP="00F443E5">
      <w:pPr>
        <w:pStyle w:val="a4"/>
        <w:numPr>
          <w:ilvl w:val="0"/>
          <w:numId w:val="2"/>
        </w:numPr>
        <w:tabs>
          <w:tab w:val="left" w:pos="851"/>
        </w:tabs>
        <w:ind w:left="851"/>
        <w:jc w:val="both"/>
      </w:pPr>
      <w:r>
        <w:t>текущий контроль в виде проверочных работ и тестов;</w:t>
      </w:r>
    </w:p>
    <w:p w:rsidR="00F443E5" w:rsidRDefault="00F443E5" w:rsidP="00F443E5">
      <w:pPr>
        <w:pStyle w:val="a4"/>
        <w:numPr>
          <w:ilvl w:val="0"/>
          <w:numId w:val="2"/>
        </w:numPr>
        <w:tabs>
          <w:tab w:val="left" w:pos="851"/>
        </w:tabs>
        <w:ind w:left="851"/>
        <w:jc w:val="both"/>
      </w:pPr>
      <w:r>
        <w:t>тематический контроль в виде  контрольных работ;</w:t>
      </w:r>
    </w:p>
    <w:p w:rsidR="00F443E5" w:rsidRDefault="00F443E5" w:rsidP="00F443E5">
      <w:pPr>
        <w:pStyle w:val="a4"/>
        <w:numPr>
          <w:ilvl w:val="0"/>
          <w:numId w:val="2"/>
        </w:numPr>
        <w:tabs>
          <w:tab w:val="left" w:pos="851"/>
        </w:tabs>
        <w:spacing w:after="240"/>
        <w:ind w:left="851"/>
        <w:jc w:val="both"/>
      </w:pPr>
      <w:r>
        <w:t>итоговый контроль в виде контрольной работы и теста.</w:t>
      </w: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Формы контроля: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фронтальный опрос;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индивидуальная работа у доски;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индивидуальная работа по карточкам;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дифференцированная самостоятельная работа;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дифференцированная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проверочная работ;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химический диктант,  тестовый контроль; 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практические работы;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работы.</w:t>
      </w:r>
    </w:p>
    <w:p w:rsidR="0042105B" w:rsidRDefault="0042105B"/>
    <w:sectPr w:rsidR="00421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56D6A"/>
    <w:multiLevelType w:val="hybridMultilevel"/>
    <w:tmpl w:val="78C6A102"/>
    <w:lvl w:ilvl="0" w:tplc="5174383E">
      <w:start w:val="1"/>
      <w:numFmt w:val="bullet"/>
      <w:lvlText w:val=""/>
      <w:lvlJc w:val="left"/>
      <w:pPr>
        <w:ind w:left="58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7206F9"/>
    <w:multiLevelType w:val="hybridMultilevel"/>
    <w:tmpl w:val="4DC28506"/>
    <w:lvl w:ilvl="0" w:tplc="51743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FA07EC"/>
    <w:multiLevelType w:val="hybridMultilevel"/>
    <w:tmpl w:val="44468466"/>
    <w:lvl w:ilvl="0" w:tplc="2C98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443E5"/>
    <w:rsid w:val="0042105B"/>
    <w:rsid w:val="00F44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F443E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qFormat/>
    <w:rsid w:val="00F44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F443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F4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1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2021-01-20T09:59:00Z</dcterms:created>
  <dcterms:modified xsi:type="dcterms:W3CDTF">2021-01-20T10:02:00Z</dcterms:modified>
</cp:coreProperties>
</file>